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pPr>
        <w:spacing w:after="60"/>
        <w:jc w:val="center"/>
      </w:pPr>
      <w:r>
        <w:rPr>
          <w:b/>
          <w:bCs/>
          <w:color w:val="003049"/>
          <w:sz w:val="32"/>
          <w:szCs w:val="32"/>
        </w:rPr>
        <w:t xml:space="preserve">COMPTE RENDU D'ENTRETIEN INDIVIDUEL</w:t>
      </w:r>
    </w:p>
    <w:p>
      <w:pPr>
        <w:spacing w:after="240"/>
        <w:jc w:val="center"/>
      </w:pPr>
      <w:r>
        <w:rPr>
          <w:color w:val="666666"/>
          <w:sz w:val="22"/>
          <w:szCs w:val="22"/>
        </w:rPr>
        <w:t xml:space="preserve">[Entreprise / service] — entretien du [JJ/MM/AAAA]</w:t>
      </w:r>
    </w:p>
    <w:p>
      <w:pPr>
        <w:spacing w:after="100"/>
      </w:pPr>
      <w:r>
        <w:rPr>
          <w:color w:val="2E74B5"/>
        </w:rPr>
        <w:t xml:space="preserve">Participants : [Nom, fonction] et [Nom, fonction] · Durée : [HH:MM] · [en présentiel, à [lieu] / à distance]</w:t>
      </w:r>
    </w:p>
    <w:p>
      <w:pPr>
        <w:spacing w:after="120"/>
      </w:pPr>
      <w:r>
        <w:t xml:space="preserve">Compte rendu d'un entretien en tête-à-tête. À distinguer de l'entretien annuel d'évaluation et de l'entretien professionnel (art. L6315-1 du Code du travail), qui répondent à des obligations distinctes et font l'objet de trames dédiées.</w:t>
      </w:r>
    </w:p>
    <w:p>
      <w:pPr>
        <w:pStyle w:val="Heading1"/>
      </w:pPr>
      <w:r>
        <w:t xml:space="preserve">1. Objectif de la rencontre</w:t>
      </w:r>
    </w:p>
    <w:p>
      <w:pPr>
        <w:spacing w:after="100"/>
      </w:pPr>
      <w:r>
        <w:rPr>
          <w:color w:val="2E74B5"/>
        </w:rPr>
        <w:t xml:space="preserve">[En une phrase : ce qui a motivé cet entretien]</w:t>
      </w:r>
    </w:p>
    <w:p>
      <w:pPr>
        <w:pStyle w:val="Heading1"/>
      </w:pPr>
      <w:r>
        <w:t xml:space="preserve">2. Résumé des échanges</w:t>
      </w:r>
    </w:p>
    <w:p>
      <w:pPr>
        <w:spacing w:after="100"/>
      </w:pPr>
      <w:r>
        <w:t xml:space="preserve">Un paragraphe par sujet abordé, en indiquant qui exprime quoi.</w:t>
      </w:r>
    </w:p>
    <w:p>
      <w:pPr>
        <w:spacing w:after="100"/>
      </w:pPr>
      <w:r>
        <w:rPr>
          <w:color w:val="2E74B5"/>
        </w:rPr>
        <w:t xml:space="preserve">[Sujet — ce qui a été dit de part et d'autre]</w:t>
      </w:r>
    </w:p>
    <w:p>
      <w:pPr>
        <w:spacing w:after="100"/>
      </w:pPr>
      <w:r>
        <w:rPr>
          <w:color w:val="2E74B5"/>
        </w:rPr>
        <w:t xml:space="preserve">[Sujet — ce qui a été dit de part et d'autre]</w:t>
      </w:r>
    </w:p>
    <w:p>
      <w:pPr>
        <w:spacing w:after="100"/>
      </w:pPr>
      <w:r>
        <w:rPr>
          <w:color w:val="2E74B5"/>
        </w:rPr>
        <w:t xml:space="preserve">[Sujet — ce qui a été dit de part et d'autre]</w:t>
      </w:r>
    </w:p>
    <w:p>
      <w:pPr>
        <w:pStyle w:val="Heading1"/>
      </w:pPr>
      <w:r>
        <w:t xml:space="preserve">3. Perspectives évoquées</w:t>
      </w:r>
    </w:p>
    <w:p>
      <w:pPr>
        <w:spacing w:after="100"/>
      </w:pPr>
      <w:r>
        <w:rPr>
          <w:color w:val="2E74B5"/>
        </w:rPr>
        <w:t xml:space="preserve">[Pistes d'amélioration identifiées]</w:t>
      </w:r>
    </w:p>
    <w:p>
      <w:pPr>
        <w:spacing w:after="100"/>
      </w:pPr>
      <w:r>
        <w:rPr>
          <w:color w:val="2E74B5"/>
        </w:rPr>
        <w:t xml:space="preserve">[Développement professionnel, évolution de poste ou de carrière]</w:t>
      </w:r>
    </w:p>
    <w:p>
      <w:pPr>
        <w:spacing w:after="100"/>
      </w:pPr>
      <w:r>
        <w:rPr>
          <w:color w:val="2E74B5"/>
        </w:rPr>
        <w:t xml:space="preserve">[Besoins de formation exprimés]</w:t>
      </w:r>
    </w:p>
    <w:p>
      <w:pPr>
        <w:pStyle w:val="Heading1"/>
      </w:pPr>
      <w:r>
        <w:t xml:space="preserve">4. Décisions et actions</w:t>
      </w:r>
    </w:p>
    <w:p>
      <w:pPr>
        <w:spacing w:after="100"/>
      </w:pPr>
      <w:r>
        <w:t xml:space="preserve">Décisions prises d'un commun accord, et actions à mener.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2400"/>
        <w:gridCol w:w="2360"/>
      </w:tblGrid>
      <w:tr>
        <w:tc>
          <w:tcPr>
            <w:tcW w:type="dxa" w:w="4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Décision ou action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Qui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Pour quand</w:t>
            </w:r>
          </w:p>
        </w:tc>
      </w:tr>
      <w:tr>
        <w:tc>
          <w:tcPr>
            <w:tcW w:type="dxa" w:w="4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[Décision prise ou action à mener]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4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[Décision prise ou action à mener]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4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[Décision prise ou action à mener]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4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[Décision prise ou action à mener]</w:t>
            </w:r>
          </w:p>
        </w:tc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</w:tbl>
    <w:p>
      <w:pPr>
        <w:pStyle w:val="Heading1"/>
      </w:pPr>
      <w:r>
        <w:t xml:space="preserve">5. Points de désaccord</w:t>
      </w:r>
    </w:p>
    <w:p>
      <w:pPr>
        <w:spacing w:after="100"/>
      </w:pPr>
      <w:r>
        <w:rPr>
          <w:color w:val="2E74B5"/>
        </w:rPr>
        <w:t xml:space="preserve">[Le cas échéant : sujets sur lesquels les positions divergent, et la position de chacun — laisser vide s'il n'y en a pas]</w:t>
      </w:r>
    </w:p>
    <w:p>
      <w:pPr>
        <w:pStyle w:val="Heading1"/>
      </w:pPr>
      <w:r>
        <w:t xml:space="preserve">6. Prochaines étapes</w:t>
      </w:r>
    </w:p>
    <w:p>
      <w:pPr>
        <w:spacing w:after="100"/>
      </w:pPr>
      <w:r>
        <w:rPr>
          <w:color w:val="2E74B5"/>
        </w:rPr>
        <w:t xml:space="preserve">[Prochain entretien : date — suites prévues d'ici là]</w:t>
      </w:r>
    </w:p>
    <w:p>
      <w:pPr>
        <w:pStyle w:val="Heading1"/>
      </w:pPr>
      <w:r>
        <w:t xml:space="preserve">7. Ambiance générale</w:t>
      </w:r>
    </w:p>
    <w:p>
      <w:pPr>
        <w:spacing w:after="100"/>
      </w:pPr>
      <w:r>
        <w:rPr>
          <w:color w:val="2E74B5"/>
        </w:rPr>
        <w:t xml:space="preserve">[En une phrase : le ton de l'échange — constructif, tendu, chaleureux…]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Document remis aux deux participants. Les éléments échangés relèvent de la confidentialité convenue entre eux et des règles internes de l'entreprise.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Ce document est un aide-mémoire pratique, pas un avis juridique — vérifiez les textes en vigueur (legifrance.gouv.fr) et vos règles internes.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Modèle proposé par Geremy (geremy.ai) — l'IA française de compte rendu de réunion. Hébergé en France · ISO 27001 · SOC 2 Type II · HDS · Conforme RGPD. Libre de réutilisation.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40"/>
      <w:outlineLvl w:val="0"/>
    </w:pPr>
    <w:rPr>
      <w:rFonts w:ascii="Arial" w:cs="Arial" w:eastAsia="Arial" w:hAnsi="Arial"/>
      <w:b/>
      <w:bCs/>
      <w:color w:val="00304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003049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2026-09-15T15:48:30.373Z</dcterms:created>
  <dcterms:modified xsi:type="dcterms:W3CDTF">2026-09-15T15:48:30.373Z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