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CHECKLIST — SÉANCE DU CONSEIL MUNICIPAL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De la convocation à la publication du procès-verbal — édition 2026</w:t>
      </w:r>
    </w:p>
    <w:p>
      <w:pPr>
        <w:pStyle w:val="Heading1"/>
      </w:pPr>
      <w:r>
        <w:t xml:space="preserve">1. Avant la séance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Convocation adressée avec l'ordre du jour : 3 jours francs (&lt; 3 500 hab.) ou 5 jours francs (≥ 3 500 hab.) — art. L2121-11 / L2121-12 du CGCT.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Dossiers des affaires soumises à délibération tenus à disposition des conseillers.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Numérotation des projets de délibération préparée.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séance est enregistrée (audio, IA de compte rendu) : information des participants — la séance publique peut être enregistrée par toute personne (art. L2121-18).</w:t>
      </w:r>
    </w:p>
    <w:p>
      <w:pPr>
        <w:pStyle w:val="Heading1"/>
      </w:pPr>
      <w:r>
        <w:t xml:space="preserve">2. Pendant la séance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Vérification du quorum (majorité des membres en exercice présents) et des pouvoirs.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Désignation du secrétaire de séance (art. L2121-15).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PV de la séance précédente arrêté en début de séance.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chaque délibération : exposé, débats, texte de la décision, détail du vote.</w:t>
      </w:r>
    </w:p>
    <w:p>
      <w:pPr>
        <w:pStyle w:val="Heading1"/>
      </w:pPr>
      <w:r>
        <w:t xml:space="preserve">3. Après la séance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Liste des délibérations examinées affichée et publiée dans la huitaine (art. L2121-25).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Délibérations transmises au contrôle de légalité (préfecture) et publiées pour être exécutoires.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Procès-verbal rédigé par le secrétaire de séance, arrêté à la séance suivante, signé par le maire et le secrétaire, puis publié dans la huitaine (art. L2121-15, rédaction issue de la réforme du 1er juillet 2022).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Registre des délibérations tenu à jour.</w:t>
      </w:r>
    </w:p>
    <w:p>
      <w:pPr>
        <w:pStyle w:val="Heading1"/>
      </w:pPr>
      <w:r>
        <w:t xml:space="preserve">4. Bonnes pratiques compte rendu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Restituer fidèlement les positions exprimées, sans interprétation.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Relecture humaine systématique avant publication (le secrétaire de séance reste responsable du contenu).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un outil numérique traite l'audio : hébergement UE, suppression de l'enregistrement après traitement, DPA art. 28 RGPD.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2026-09-15T15:48:30.369Z</dcterms:created>
  <dcterms:modified xsi:type="dcterms:W3CDTF">2026-09-15T15:48:30.369Z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